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2495"/>
        <w:gridCol w:w="853"/>
        <w:gridCol w:w="236"/>
        <w:gridCol w:w="1945"/>
        <w:gridCol w:w="1428"/>
        <w:gridCol w:w="1157"/>
        <w:gridCol w:w="2544"/>
        <w:gridCol w:w="222"/>
      </w:tblGrid>
      <w:tr w:rsidR="003810B9" w:rsidRPr="003810B9" w:rsidTr="003810B9">
        <w:trPr>
          <w:trHeight w:val="255"/>
        </w:trPr>
        <w:tc>
          <w:tcPr>
            <w:tcW w:w="2495"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Level</w:t>
            </w:r>
          </w:p>
        </w:tc>
        <w:tc>
          <w:tcPr>
            <w:tcW w:w="853"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945"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Provinsi Aceh</w:t>
            </w:r>
          </w:p>
        </w:tc>
        <w:tc>
          <w:tcPr>
            <w:tcW w:w="142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157"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4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2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330"/>
        </w:trPr>
        <w:tc>
          <w:tcPr>
            <w:tcW w:w="2495"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Komponen</w:t>
            </w:r>
          </w:p>
        </w:tc>
        <w:tc>
          <w:tcPr>
            <w:tcW w:w="853"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3373"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B. Kapasitas Pemerintah</w:t>
            </w:r>
          </w:p>
        </w:tc>
        <w:tc>
          <w:tcPr>
            <w:tcW w:w="1157"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4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2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2495"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853"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94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28"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5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254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22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3584" w:type="dxa"/>
            <w:gridSpan w:val="3"/>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Isu dalam PGA REDD+</w:t>
            </w:r>
          </w:p>
        </w:tc>
        <w:tc>
          <w:tcPr>
            <w:tcW w:w="7074" w:type="dxa"/>
            <w:gridSpan w:val="4"/>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I. Perencanaan Kehutanan dan Tata Ruang </w:t>
            </w:r>
          </w:p>
        </w:tc>
        <w:tc>
          <w:tcPr>
            <w:tcW w:w="22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345"/>
        </w:trPr>
        <w:tc>
          <w:tcPr>
            <w:tcW w:w="2495"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853"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729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3810B9" w:rsidRPr="003810B9" w:rsidTr="003810B9">
        <w:trPr>
          <w:trHeight w:val="255"/>
        </w:trPr>
        <w:tc>
          <w:tcPr>
            <w:tcW w:w="3348"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23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7074" w:type="dxa"/>
            <w:gridSpan w:val="4"/>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2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066"/>
        <w:gridCol w:w="1624"/>
        <w:gridCol w:w="1679"/>
        <w:gridCol w:w="1165"/>
        <w:gridCol w:w="1417"/>
        <w:gridCol w:w="1134"/>
        <w:gridCol w:w="1418"/>
        <w:gridCol w:w="1382"/>
      </w:tblGrid>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2805"/>
        </w:trPr>
        <w:tc>
          <w:tcPr>
            <w:tcW w:w="1066"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BIa1</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Latar belakang Pendidikan formal </w:t>
            </w:r>
          </w:p>
        </w:tc>
        <w:tc>
          <w:tcPr>
            <w:tcW w:w="1679"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ditelusri melalui dokumen. Karen Informan sudah mengetahui secara pasti jumlah SDM dan kualifikasi pendidikan formal.</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untuk Dari 27 staf, hanya ada 3 orang yang sarjana planologi, 14 Sarjana kehutanan, dan selebihnya, staf komputer dan administrasi.</w:t>
            </w:r>
            <w:r w:rsidRPr="003810B9">
              <w:rPr>
                <w:rFonts w:ascii="Times New Roman" w:eastAsia="Times New Roman" w:hAnsi="Times New Roman" w:cs="Times New Roman"/>
                <w:color w:val="000000"/>
                <w:sz w:val="20"/>
                <w:szCs w:val="20"/>
                <w:lang w:eastAsia="id-ID"/>
              </w:rPr>
              <w:br/>
            </w:r>
            <w:r w:rsidRPr="003810B9">
              <w:rPr>
                <w:rFonts w:ascii="Times New Roman" w:eastAsia="Times New Roman" w:hAnsi="Times New Roman" w:cs="Times New Roman"/>
                <w:color w:val="000000"/>
                <w:sz w:val="20"/>
                <w:szCs w:val="20"/>
                <w:lang w:eastAsia="id-ID"/>
              </w:rPr>
              <w:br/>
              <w:t>Menurut informan: harus diperjelas, unit perencanaa eilayah. Dalam Kehutanan, perencanaan wilayah tidak dikenal, melainkan penetuan pola ruang kehutanan. Kalau perencana Wilayah ada di Bappedda/BKPRD</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1440"/>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ditelusri melalui dokumen. Karen Informan sudah mengetahui secara pasti jumlah SDM dan kualifikasi pendidikan formal.</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Hanya 5 orang yang berlatar belakang planologi, hanya 1 orang yang berkonsentrasi pada planologi kehutanan. Idealnya ada 15-20 orang yang berlatar belakang planologi, dan 5 orang </w:t>
            </w:r>
            <w:r w:rsidRPr="003810B9">
              <w:rPr>
                <w:rFonts w:ascii="Times New Roman" w:eastAsia="Times New Roman" w:hAnsi="Times New Roman" w:cs="Times New Roman"/>
                <w:color w:val="000000"/>
                <w:sz w:val="20"/>
                <w:szCs w:val="20"/>
                <w:lang w:eastAsia="id-ID"/>
              </w:rPr>
              <w:lastRenderedPageBreak/>
              <w:t>dengan disiplin ilmu kehutanan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1</w:t>
            </w:r>
          </w:p>
        </w:tc>
      </w:tr>
      <w:tr w:rsidR="003810B9" w:rsidRPr="003810B9" w:rsidTr="003810B9">
        <w:trPr>
          <w:trHeight w:val="76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Semua ada 5 orang. 3 orang yang berpendidikan S1 Planologi. Sisanya STM.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229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 Sebab BKPRD hanya bersifat keseketraiatan yang secara khusus menyediakan dokumen CV keanggotaan. Semua ada di SKPA/D masing-maing</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Semua staf di bappeda tidak terlepas dari kegiatan perencanaan. Karena perencanaannya untuk semua bidang. Maka baik pada tim BKPRD ataupun P2SP memiliki SDM yang komplete. Seperti disini unit kita ini ada sarjana tekhnik sipil,arsitek, pertanian,kehutanan ekonomi pembangunan, planologi.</w:t>
            </w:r>
          </w:p>
        </w:tc>
        <w:tc>
          <w:tcPr>
            <w:tcW w:w="1382"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4</w:t>
            </w:r>
          </w:p>
        </w:tc>
      </w:tr>
      <w:tr w:rsidR="003810B9" w:rsidRPr="003810B9" w:rsidTr="003810B9">
        <w:trPr>
          <w:trHeight w:val="255"/>
        </w:trPr>
        <w:tc>
          <w:tcPr>
            <w:tcW w:w="1066"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BIa2</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24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Lama waktu kerja sebagai perencana </w:t>
            </w:r>
          </w:p>
        </w:tc>
        <w:tc>
          <w:tcPr>
            <w:tcW w:w="1679"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ditelusuri</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6- 23 tahun pengalaman kerja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r>
      <w:tr w:rsidR="003810B9" w:rsidRPr="003810B9" w:rsidTr="003810B9">
        <w:trPr>
          <w:trHeight w:val="930"/>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Hanya 1 orang yang berpengalaman kerja lebih 10 tahun. Sisanya masih berpengalaman kerja 2-3 tahun.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Rata-rata 3 tahun pengalaman kerja.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5</w:t>
            </w:r>
          </w:p>
        </w:tc>
      </w:tr>
      <w:tr w:rsidR="003810B9" w:rsidRPr="003810B9" w:rsidTr="003810B9">
        <w:trPr>
          <w:trHeight w:val="1020"/>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Semua staf disini sudah bekerja di atas 5 tahun. Saya sendiri sudah di lebih dari 15 tahun dalam bidang perencanaan.</w:t>
            </w:r>
          </w:p>
        </w:tc>
        <w:tc>
          <w:tcPr>
            <w:tcW w:w="1382"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5</w:t>
            </w:r>
          </w:p>
        </w:tc>
      </w:tr>
      <w:tr w:rsidR="003810B9" w:rsidRPr="003810B9" w:rsidTr="003810B9">
        <w:trPr>
          <w:trHeight w:val="255"/>
        </w:trPr>
        <w:tc>
          <w:tcPr>
            <w:tcW w:w="1066"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BIa3</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24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Sertifikat </w:t>
            </w:r>
            <w:r w:rsidRPr="003810B9">
              <w:rPr>
                <w:rFonts w:ascii="Times New Roman" w:eastAsia="Times New Roman" w:hAnsi="Times New Roman" w:cs="Times New Roman"/>
                <w:color w:val="000000"/>
                <w:sz w:val="20"/>
                <w:szCs w:val="20"/>
                <w:lang w:eastAsia="id-ID"/>
              </w:rPr>
              <w:lastRenderedPageBreak/>
              <w:t xml:space="preserve">perencanaan wilayah </w:t>
            </w:r>
          </w:p>
        </w:tc>
        <w:tc>
          <w:tcPr>
            <w:tcW w:w="1679"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 xml:space="preserve">Apakah SDM </w:t>
            </w:r>
            <w:r w:rsidRPr="003810B9">
              <w:rPr>
                <w:rFonts w:ascii="Times New Roman" w:eastAsia="Times New Roman" w:hAnsi="Times New Roman" w:cs="Times New Roman"/>
                <w:color w:val="000000"/>
                <w:sz w:val="20"/>
                <w:szCs w:val="20"/>
                <w:lang w:eastAsia="id-ID"/>
              </w:rPr>
              <w:lastRenderedPageBreak/>
              <w:t>yang bertugas dalam Unit Perencana memiliki sertifikat perencanaan wilayah?</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Dokumen </w:t>
            </w:r>
            <w:r w:rsidRPr="003810B9">
              <w:rPr>
                <w:rFonts w:ascii="Times New Roman" w:eastAsia="Times New Roman" w:hAnsi="Times New Roman" w:cs="Times New Roman"/>
                <w:color w:val="000000"/>
                <w:sz w:val="20"/>
                <w:szCs w:val="20"/>
                <w:lang w:eastAsia="id-ID"/>
              </w:rPr>
              <w:lastRenderedPageBreak/>
              <w:t>tidak ada</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1</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Tidak ada </w:t>
            </w:r>
            <w:r w:rsidRPr="003810B9">
              <w:rPr>
                <w:rFonts w:ascii="Times New Roman" w:eastAsia="Times New Roman" w:hAnsi="Times New Roman" w:cs="Times New Roman"/>
                <w:color w:val="000000"/>
                <w:sz w:val="20"/>
                <w:szCs w:val="20"/>
                <w:lang w:eastAsia="id-ID"/>
              </w:rPr>
              <w:lastRenderedPageBreak/>
              <w:t>sertfikat</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1</w:t>
            </w:r>
          </w:p>
        </w:tc>
      </w:tr>
      <w:tr w:rsidR="003810B9" w:rsidRPr="003810B9" w:rsidTr="003810B9">
        <w:trPr>
          <w:trHeight w:val="25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tersedia</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Data tak tersedia</w:t>
            </w:r>
          </w:p>
        </w:tc>
        <w:tc>
          <w:tcPr>
            <w:tcW w:w="1382" w:type="dxa"/>
            <w:tcBorders>
              <w:top w:val="nil"/>
              <w:left w:val="nil"/>
              <w:bottom w:val="single" w:sz="4" w:space="0" w:color="auto"/>
              <w:right w:val="single" w:sz="4" w:space="0" w:color="auto"/>
            </w:tcBorders>
            <w:shd w:val="clear" w:color="000000" w:fill="FFFF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r>
      <w:tr w:rsidR="003810B9" w:rsidRPr="003810B9" w:rsidTr="003810B9">
        <w:trPr>
          <w:trHeight w:val="510"/>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tersedia</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Hanya sertifkat formal selama menempuh S1.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r>
      <w:tr w:rsidR="003810B9" w:rsidRPr="003810B9" w:rsidTr="003810B9">
        <w:trPr>
          <w:trHeight w:val="76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tersedia</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memiliki informai yang cukup apakah setiap anggota memiliki sertifikat perencanaan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630"/>
        </w:trPr>
        <w:tc>
          <w:tcPr>
            <w:tcW w:w="4369" w:type="dxa"/>
            <w:gridSpan w:val="3"/>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Kepala SKPD, dan Kepala Bagian Perencanaan</w:t>
            </w: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510"/>
        </w:trPr>
        <w:tc>
          <w:tcPr>
            <w:tcW w:w="1066"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BIb1</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Latar belakang Pendidikan formal </w:t>
            </w:r>
          </w:p>
        </w:tc>
        <w:tc>
          <w:tcPr>
            <w:tcW w:w="1679"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ditelusuri karena informasi dari informan sudah pasti</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14 Sarjana kehutanan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25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Hanya 1 orang</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Hanya 1 orang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1680"/>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Daftar tidak tersedia</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Di bidang perencaan di BAPPEDA tidak ada sdm yang fokus ke isu hutan. Seperti yang saya bilang tadi bahwa jika terkait isu tertentu akan di kerjakan secara tim dengan melibatkan sdm yang sesuai dengan isu instansi yang bersangkutan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510"/>
        </w:trPr>
        <w:tc>
          <w:tcPr>
            <w:tcW w:w="1066"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BIb2</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24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Lama waktu kerja sebagai perencana </w:t>
            </w:r>
          </w:p>
        </w:tc>
        <w:tc>
          <w:tcPr>
            <w:tcW w:w="1679"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ditelusuri karena informasi dari informan sudah pasti</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6 - 23 tahun pengalaman kerja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020"/>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Kurang dari 5 tahun</w:t>
            </w:r>
            <w:r w:rsidRPr="003810B9">
              <w:rPr>
                <w:rFonts w:ascii="Times New Roman" w:eastAsia="Times New Roman" w:hAnsi="Times New Roman" w:cs="Times New Roman"/>
                <w:color w:val="000000"/>
                <w:sz w:val="20"/>
                <w:szCs w:val="20"/>
                <w:lang w:eastAsia="id-ID"/>
              </w:rPr>
              <w:br/>
              <w:t>Tidak ada pelatihan khusus</w:t>
            </w:r>
            <w:r w:rsidRPr="003810B9">
              <w:rPr>
                <w:rFonts w:ascii="Times New Roman" w:eastAsia="Times New Roman" w:hAnsi="Times New Roman" w:cs="Times New Roman"/>
                <w:color w:val="000000"/>
                <w:sz w:val="20"/>
                <w:szCs w:val="20"/>
                <w:lang w:eastAsia="id-ID"/>
              </w:rPr>
              <w:br/>
              <w:t>Jumlah ideal, ada 5 staf yang berlatar planologi kehutanan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Lama waktu kerja 3 tahun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64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tersedia</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Rata-rata yang di BKTD/BKPRA itu antara 5-7 tahun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4</w:t>
            </w:r>
          </w:p>
        </w:tc>
      </w:tr>
      <w:tr w:rsidR="003810B9" w:rsidRPr="003810B9" w:rsidTr="003810B9">
        <w:trPr>
          <w:trHeight w:val="765"/>
        </w:trPr>
        <w:tc>
          <w:tcPr>
            <w:tcW w:w="1066"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BIb3</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24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Sertifikat perencanaan wilayah </w:t>
            </w:r>
          </w:p>
        </w:tc>
        <w:tc>
          <w:tcPr>
            <w:tcW w:w="1679"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Ada yang mengikuti pelatihan GIS. 10 staf yang engikuti pelatihan selama 6 bulan namun tidak ada sertifikat. </w:t>
            </w:r>
          </w:p>
        </w:tc>
        <w:tc>
          <w:tcPr>
            <w:tcW w:w="1382" w:type="dxa"/>
            <w:tcBorders>
              <w:top w:val="nil"/>
              <w:left w:val="nil"/>
              <w:bottom w:val="single" w:sz="4" w:space="0" w:color="auto"/>
              <w:right w:val="single" w:sz="4" w:space="0" w:color="auto"/>
            </w:tcBorders>
            <w:shd w:val="clear" w:color="000000" w:fill="FFFF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r>
      <w:tr w:rsidR="003810B9" w:rsidRPr="003810B9" w:rsidTr="003810B9">
        <w:trPr>
          <w:trHeight w:val="76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pelatihan khusus</w:t>
            </w:r>
            <w:r w:rsidRPr="003810B9">
              <w:rPr>
                <w:rFonts w:ascii="Times New Roman" w:eastAsia="Times New Roman" w:hAnsi="Times New Roman" w:cs="Times New Roman"/>
                <w:color w:val="000000"/>
                <w:sz w:val="20"/>
                <w:szCs w:val="20"/>
                <w:lang w:eastAsia="id-ID"/>
              </w:rPr>
              <w:br/>
              <w:t>Jumlah ideal 5 staf yang punya keahlian dalam planologi kehutanan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Bappeda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memiliki</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73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BKTR</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 tersedia</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memiliki informasi yang pasti</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4369" w:type="dxa"/>
            <w:gridSpan w:val="3"/>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3810B9" w:rsidRPr="003810B9" w:rsidTr="003810B9">
        <w:trPr>
          <w:trHeight w:val="69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single" w:sz="4" w:space="0" w:color="auto"/>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Usulan kegiatan dan DIPA pada tahun yang sama tiga tahun kebelakang,</w:t>
            </w:r>
            <w:r w:rsidRPr="003810B9">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2295"/>
        </w:trPr>
        <w:tc>
          <w:tcPr>
            <w:tcW w:w="1066"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BIc1</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679"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alokasi dana khusus untuk menyusun perencaanaan partisipatif. Yang ada hanya alokasi untuk Perencanaan dan Pengembangan hutan sebesar Rp. 800 jt. (Periksa APBA, Tabel.5.1 Program dan Kegiatan SKPA tahun 2012 SKPA Kehutanan dan Perkebunan)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r>
      <w:tr w:rsidR="003810B9" w:rsidRPr="003810B9" w:rsidTr="003810B9">
        <w:trPr>
          <w:trHeight w:val="127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Dinas Pertanian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Tidak Relevan dengan proses tata ruang. Sehingga dalam APBA 2012 tidak dianggarkan, SKPA: Dinas Pertanian dan Tanaman Pangan. </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r>
      <w:tr w:rsidR="003810B9" w:rsidRPr="003810B9" w:rsidTr="003810B9">
        <w:trPr>
          <w:trHeight w:val="118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BPN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anggaran dalam APBA 2012</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3810B9" w:rsidRPr="003810B9" w:rsidTr="003810B9">
        <w:trPr>
          <w:trHeight w:val="64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single" w:sz="4" w:space="0" w:color="auto"/>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280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BId1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Pembagian tugas</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Tidak Ada SOP untuk penyelesaian konflik karena sudah punya tupoksi masing-masing. </w:t>
            </w:r>
            <w:r w:rsidRPr="003810B9">
              <w:rPr>
                <w:rFonts w:ascii="Times New Roman" w:eastAsia="Times New Roman" w:hAnsi="Times New Roman" w:cs="Times New Roman"/>
                <w:color w:val="000000"/>
                <w:sz w:val="20"/>
                <w:szCs w:val="20"/>
                <w:lang w:eastAsia="id-ID"/>
              </w:rPr>
              <w:br/>
            </w:r>
            <w:r w:rsidRPr="003810B9">
              <w:rPr>
                <w:rFonts w:ascii="Times New Roman" w:eastAsia="Times New Roman" w:hAnsi="Times New Roman" w:cs="Times New Roman"/>
                <w:color w:val="000000"/>
                <w:sz w:val="20"/>
                <w:szCs w:val="20"/>
                <w:lang w:eastAsia="id-ID"/>
              </w:rPr>
              <w:br/>
              <w:t xml:space="preserve">(Catatan: wawancara dengan Bagian Perlindungan Hutan, Dishutbun Aceh, Bapak Khairianur, yang bersangkutan tidak bisa menjawab dengan mengatakan pertanyaan tidak relevan, dan merekomendasi </w:t>
            </w:r>
            <w:r w:rsidRPr="003810B9">
              <w:rPr>
                <w:rFonts w:ascii="Times New Roman" w:eastAsia="Times New Roman" w:hAnsi="Times New Roman" w:cs="Times New Roman"/>
                <w:color w:val="000000"/>
                <w:sz w:val="20"/>
                <w:szCs w:val="20"/>
                <w:lang w:eastAsia="id-ID"/>
              </w:rPr>
              <w:lastRenderedPageBreak/>
              <w:t>untuk wawancara dngan Planologi (Dedek Hadi Ismanto)</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1</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BId2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Struktur Organisasi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Tidak ada </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BId3</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Tahapan pelaksanaan penyelesaian konflik</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BId4</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Keterlibatan masyarakat</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53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BId5</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Mekanisme pengambilan keputusan</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BId6</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Tata waktu penyelesaian konflik</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78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BId7</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Mekanisme penyampaian informasi proses dan hasil penyelesaian konflik</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3810B9" w:rsidRPr="003810B9" w:rsidTr="003810B9">
        <w:trPr>
          <w:trHeight w:val="64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lastRenderedPageBreak/>
              <w:t>Sumber informasi</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single" w:sz="4" w:space="0" w:color="auto"/>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792"/>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BIe1</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DPRD</w:t>
            </w:r>
          </w:p>
        </w:tc>
        <w:tc>
          <w:tcPr>
            <w:tcW w:w="1417"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banyak. Sekitar 2 anggota. Semua dari Partai Aceh</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829"/>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Jumlahnya tidak lebih dari 2. Itupun sebebanrnya mereka tidak paham tentang kehutanan.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1020"/>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PU</w:t>
            </w:r>
          </w:p>
        </w:tc>
        <w:tc>
          <w:tcPr>
            <w:tcW w:w="1417"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Kualitas legis tidak memadai. Dari segi pendidikan. Karena dominasi Partai Aceh dimana tingkat pendidikannya selevel SD dan ijasa paket C.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4080"/>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LSM</w:t>
            </w:r>
          </w:p>
        </w:tc>
        <w:tc>
          <w:tcPr>
            <w:tcW w:w="1417"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Secara formal mestinya diperjuangkan oleg anggota dari Komisi B. Namun secara faktual tidak ada yang secara kontinu memperjuangkan isu soal perencanaan wilayah dan kehutanan yang sungguh-2 beranjak dari keberpihakan mereka terhadap rakyat.  Kalaupun pada waktu terntentu mereka bicara tentang perencanaan wilayah dan kehutanan, biasanya mereka akan bicara kalau sudah dilobi secara personal. Kalaupun harus menunjuk orang mungkin idak lebih dari 2 legislator, yaitu: Abdullah Saleh dan Jufri Hasannudin. Keduanya dari Partai Aceh.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76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Jurnalis</w:t>
            </w:r>
          </w:p>
        </w:tc>
        <w:tc>
          <w:tcPr>
            <w:tcW w:w="1417"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Cuma 1 orang yang paling aktif, yaitu ketua pansus tata ruang Jupri Hasanudin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Isu dalam PGA REDD+</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II. Pengaturan Hak  </w:t>
            </w: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70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3810B9" w:rsidRPr="003810B9" w:rsidTr="003810B9">
        <w:trPr>
          <w:trHeight w:val="36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single" w:sz="4" w:space="0" w:color="auto"/>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692"/>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BIIa1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Kondisi realisasi rencana kebutuhan SDM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rencana kebutuhan SDM sudah terpenuhi?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Kualifikasi tidak diperlukan.  Dan pengamnistrasian itu wewenang BPN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178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BIIa2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Memiliki pendidikan S1 di bidang terkait dengan kehutanan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 yang relevan dengan administrai masyarakat adat</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04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BIIa3</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 yang relevan dengan administrai masyarakat adat</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04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BIIa4</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73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3810B9" w:rsidRPr="003810B9" w:rsidTr="003810B9">
        <w:trPr>
          <w:trHeight w:val="61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lastRenderedPageBreak/>
              <w:t>Wawancara - Sumber informasi</w:t>
            </w: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485"/>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BIIb1</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Silakan Periksa APBA 2012, SKPA Dinas Kehutanan dan Perkebunan</w:t>
            </w:r>
          </w:p>
        </w:tc>
        <w:tc>
          <w:tcPr>
            <w:tcW w:w="1134" w:type="dxa"/>
            <w:tcBorders>
              <w:top w:val="nil"/>
              <w:left w:val="nil"/>
              <w:bottom w:val="single" w:sz="4" w:space="0" w:color="auto"/>
              <w:right w:val="single" w:sz="4" w:space="0" w:color="auto"/>
            </w:tcBorders>
            <w:shd w:val="clear" w:color="000000" w:fill="FFFF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dana untuk ini</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76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Informan berkeberatan memberikan DIPA kepada kolektor data</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dana khusus</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nil"/>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single" w:sz="4" w:space="0" w:color="auto"/>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Aceh</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64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3810B9" w:rsidRPr="003810B9" w:rsidTr="003810B9">
        <w:trPr>
          <w:trHeight w:val="45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single" w:sz="4" w:space="0" w:color="auto"/>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705"/>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BIIc1</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Komponen Mekanisme-1: Pembagian tugas &amp; tanggung jawab setiap pihak</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pengadministrasian masyarakat adat</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3810"/>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kalau berkaitan dengan pembagian tugas dan tanggung jawab sudah tentu ada. Tapi yang berkaitan dengan masyarakat adat, tidak ada pembagian tugas khusus. Pembagian tugas pokok dalam BKSDA itu ada 3: pengawetan, perlindungan dan pemanfataan. </w:t>
            </w:r>
            <w:r w:rsidRPr="003810B9">
              <w:rPr>
                <w:rFonts w:ascii="Times New Roman" w:eastAsia="Times New Roman" w:hAnsi="Times New Roman" w:cs="Times New Roman"/>
                <w:color w:val="000000"/>
                <w:sz w:val="20"/>
                <w:szCs w:val="20"/>
                <w:lang w:eastAsia="id-ID"/>
              </w:rPr>
              <w:br/>
            </w:r>
            <w:r w:rsidRPr="003810B9">
              <w:rPr>
                <w:rFonts w:ascii="Times New Roman" w:eastAsia="Times New Roman" w:hAnsi="Times New Roman" w:cs="Times New Roman"/>
                <w:color w:val="000000"/>
                <w:sz w:val="20"/>
                <w:szCs w:val="20"/>
                <w:lang w:eastAsia="id-ID"/>
              </w:rPr>
              <w:br/>
              <w:t xml:space="preserve">Mungkin bisa saja, tentang hak kelola masyarakat bisa dimasukkan dalam konteks tugas fungsi pemanfaatan hutan sebagai usaha wisata misalnya. maka hal ini berkaitan dengan pengurusan izin usaha.Bisa dilakukan oleh masyarakat, baik indvidu maupun </w:t>
            </w:r>
            <w:r w:rsidRPr="003810B9">
              <w:rPr>
                <w:rFonts w:ascii="Times New Roman" w:eastAsia="Times New Roman" w:hAnsi="Times New Roman" w:cs="Times New Roman"/>
                <w:color w:val="000000"/>
                <w:sz w:val="20"/>
                <w:szCs w:val="20"/>
                <w:lang w:eastAsia="id-ID"/>
              </w:rPr>
              <w:lastRenderedPageBreak/>
              <w:t xml:space="preserve">kelompok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1</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di Aceh</w:t>
            </w:r>
          </w:p>
        </w:tc>
      </w:tr>
      <w:tr w:rsidR="003810B9" w:rsidRPr="003810B9" w:rsidTr="003810B9">
        <w:trPr>
          <w:trHeight w:val="765"/>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BIIc2</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Komponen Mekanisme-2: Tahapan pelaksanaan kerjasama</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Sudah ada tupoksi masing-masing. Kalaupun ada kerjasama, paling dalam rapat koordinasi internal atau SKPD</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mekanisme khusus</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di Aceh</w:t>
            </w:r>
          </w:p>
        </w:tc>
      </w:tr>
      <w:tr w:rsidR="003810B9" w:rsidRPr="003810B9" w:rsidTr="003810B9">
        <w:trPr>
          <w:trHeight w:val="2760"/>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BIIc3</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Komponen Mekanisme-3: Mekanisme pengambilan keputusan</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Mekanisme pengambilan keputus-an dalam kerjasama antara unit?</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pengadministrasian masyarakat adat</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mekanisme khusus</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sz w:val="20"/>
                <w:szCs w:val="20"/>
                <w:lang w:eastAsia="id-ID"/>
              </w:rPr>
            </w:pPr>
            <w:r w:rsidRPr="003810B9">
              <w:rPr>
                <w:rFonts w:ascii="Times New Roman" w:eastAsia="Times New Roman" w:hAnsi="Times New Roman" w:cs="Times New Roman"/>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di Aceh</w:t>
            </w:r>
          </w:p>
        </w:tc>
      </w:tr>
      <w:tr w:rsidR="003810B9" w:rsidRPr="003810B9" w:rsidTr="003810B9">
        <w:trPr>
          <w:trHeight w:val="255"/>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BIIc4</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Komponen Mekanisme-4: </w:t>
            </w:r>
            <w:r w:rsidRPr="003810B9">
              <w:rPr>
                <w:rFonts w:ascii="Times New Roman" w:eastAsia="Times New Roman" w:hAnsi="Times New Roman" w:cs="Times New Roman"/>
                <w:color w:val="000000"/>
                <w:sz w:val="20"/>
                <w:szCs w:val="20"/>
                <w:lang w:eastAsia="id-ID"/>
              </w:rPr>
              <w:br/>
              <w:t>Tata waktu pelaksanaan kerjasama</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Tata waktu pelaksanaan kerjasama dalam mekanisme kerjasama antara unit?</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tata waktu pelaksanaan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mekanisme khusus</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810"/>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di Aceh</w:t>
            </w:r>
          </w:p>
        </w:tc>
      </w:tr>
      <w:tr w:rsidR="003810B9" w:rsidRPr="003810B9" w:rsidTr="003810B9">
        <w:trPr>
          <w:trHeight w:val="765"/>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BIIc5</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Komponen Mekanisme-5: Mekanisme pelaporan hasil pelaksanaan kerjasama</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Mekanisme pelaporan hasil pelak-sanaan kerjasama dalam kerjasa-ma antara unit?</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pelaporan spesisfik mengenai kerjasama pengadministrasian masyarakt adat</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27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Tidak ada mekamnisme khusus untuk pengadminsitrasian hak mayarakat. Kecuali pelaporan </w:t>
            </w:r>
            <w:r w:rsidRPr="003810B9">
              <w:rPr>
                <w:rFonts w:ascii="Times New Roman" w:eastAsia="Times New Roman" w:hAnsi="Times New Roman" w:cs="Times New Roman"/>
                <w:color w:val="000000"/>
                <w:sz w:val="20"/>
                <w:szCs w:val="20"/>
                <w:lang w:eastAsia="id-ID"/>
              </w:rPr>
              <w:lastRenderedPageBreak/>
              <w:t xml:space="preserve">dari mereka yang diberika ijin untuk pengembangan wisata alam.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1</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di Aceh</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39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3810B9" w:rsidRPr="003810B9" w:rsidTr="003810B9">
        <w:trPr>
          <w:trHeight w:val="33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single" w:sz="4" w:space="0" w:color="auto"/>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02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BIId1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Kondisi realisasi rencana kebutuhan SDM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rencana kebutuhan SDM sudah terpenuhi?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Tidak ada kualifikasi khusus. Biasanya jika ada konflik, kita sudah memiliki perangkat sendiri yaitu polisi hutan dan penyidik.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BIId2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Memiliki pendidikan S1 di bidang terkait dengan kehutanan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Beberapa memiliki</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BIId3</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Memilki sertifikat sebagai mediator dalam penanganan</w:t>
            </w:r>
            <w:r w:rsidRPr="003810B9">
              <w:rPr>
                <w:rFonts w:ascii="Times New Roman" w:eastAsia="Times New Roman" w:hAnsi="Times New Roman" w:cs="Times New Roman"/>
                <w:color w:val="000000"/>
                <w:sz w:val="20"/>
                <w:szCs w:val="20"/>
                <w:lang w:eastAsia="id-ID"/>
              </w:rPr>
              <w:br/>
              <w:t>konflik hak atas hutan</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yang memiliki sertifikat sebagai mediator.</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53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BIId4</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Polisi hutan biasanya mengarah langsung pada penindakan.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30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63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3810B9" w:rsidRPr="003810B9" w:rsidTr="003810B9">
        <w:trPr>
          <w:trHeight w:val="510"/>
        </w:trPr>
        <w:tc>
          <w:tcPr>
            <w:tcW w:w="1066" w:type="dxa"/>
            <w:tcBorders>
              <w:top w:val="single" w:sz="4" w:space="0" w:color="auto"/>
              <w:left w:val="single" w:sz="4" w:space="0" w:color="auto"/>
              <w:bottom w:val="nil"/>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nil"/>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nil"/>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nil"/>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nil"/>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nil"/>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nil"/>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500"/>
        </w:trPr>
        <w:tc>
          <w:tcPr>
            <w:tcW w:w="10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BIIe1</w:t>
            </w:r>
          </w:p>
        </w:tc>
        <w:tc>
          <w:tcPr>
            <w:tcW w:w="16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6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Bagaimana jumlah dana yang dialokasikan dalam DIPA untuk menyelesaikan konflik di Instansi </w:t>
            </w:r>
            <w:r w:rsidRPr="003810B9">
              <w:rPr>
                <w:rFonts w:ascii="Times New Roman" w:eastAsia="Times New Roman" w:hAnsi="Times New Roman" w:cs="Times New Roman"/>
                <w:color w:val="000000"/>
                <w:sz w:val="20"/>
                <w:szCs w:val="20"/>
                <w:lang w:eastAsia="id-ID"/>
              </w:rPr>
              <w:lastRenderedPageBreak/>
              <w:t>Kehutanan?</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Kehutanan</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Periksa ABPA 2012, SKPA Kehutanan dan Perkebunan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dianggarkan dalam APBA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510"/>
        </w:trPr>
        <w:tc>
          <w:tcPr>
            <w:tcW w:w="1066" w:type="dxa"/>
            <w:vMerge/>
            <w:tcBorders>
              <w:top w:val="single" w:sz="4" w:space="0" w:color="auto"/>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Periksa ABPA 2012, SKPA BKSDA</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dana untuk penyelesaiaan konflik</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single" w:sz="4" w:space="0" w:color="auto"/>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di Aceh</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Isu dalam PGA REDD+</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III. Pengorganisasian Hutan </w:t>
            </w:r>
          </w:p>
        </w:tc>
        <w:tc>
          <w:tcPr>
            <w:tcW w:w="113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70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3810B9" w:rsidRPr="003810B9" w:rsidTr="003810B9">
        <w:trPr>
          <w:trHeight w:val="360"/>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single" w:sz="4" w:space="0" w:color="auto"/>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 Kepala TN, BKSDA, KPH Provinsi/Kabupaten </w:t>
            </w:r>
          </w:p>
        </w:tc>
        <w:tc>
          <w:tcPr>
            <w:tcW w:w="1134" w:type="dxa"/>
            <w:tcBorders>
              <w:top w:val="nil"/>
              <w:left w:val="nil"/>
              <w:bottom w:val="single" w:sz="4" w:space="0" w:color="auto"/>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w:t>
            </w:r>
          </w:p>
        </w:tc>
        <w:tc>
          <w:tcPr>
            <w:tcW w:w="1418" w:type="dxa"/>
            <w:tcBorders>
              <w:top w:val="nil"/>
              <w:left w:val="nil"/>
              <w:bottom w:val="single" w:sz="4" w:space="0" w:color="auto"/>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w:t>
            </w:r>
          </w:p>
        </w:tc>
        <w:tc>
          <w:tcPr>
            <w:tcW w:w="1382" w:type="dxa"/>
            <w:tcBorders>
              <w:top w:val="nil"/>
              <w:left w:val="nil"/>
              <w:bottom w:val="single" w:sz="4" w:space="0" w:color="auto"/>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465"/>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BIIIa1</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KPH</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KPH di Aceh</w:t>
            </w:r>
          </w:p>
        </w:tc>
      </w:tr>
      <w:tr w:rsidR="003810B9" w:rsidRPr="003810B9" w:rsidTr="003810B9">
        <w:trPr>
          <w:trHeight w:val="229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Berjumlah 3 orang. Mereka ada adalah penyuluh yang bertugas memberikan penyuluhan dan fasilitasi kepada pihak yang berkepentingan, baik, masyarakat atau dunia usaha. Hanya saja jumlah 3 orang penyuluh ini sangat jauh dari ideal. Semestinga BKSDA Banda Aceh memiliki minimal 30 penyuluh untuk 7 kawasan.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 Aceh</w:t>
            </w:r>
          </w:p>
        </w:tc>
      </w:tr>
      <w:tr w:rsidR="003810B9" w:rsidRPr="003810B9" w:rsidTr="003810B9">
        <w:trPr>
          <w:trHeight w:val="450"/>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BIIIa2</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Memiliki pendidikan S1 di bidang kehutanan atau terkait</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KPH</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KPH di Aceh</w:t>
            </w:r>
          </w:p>
        </w:tc>
      </w:tr>
      <w:tr w:rsidR="003810B9" w:rsidRPr="003810B9" w:rsidTr="003810B9">
        <w:trPr>
          <w:trHeight w:val="178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Informan hanya menginformasikan dan tidak perlu melihat lagi komposisi SDM. Menurutnya dia sudah hafal.</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Semua penyuluh berpendidikan sarjana. Namun untuk pengendali ekosistem 6 orang dari 8 petugas. Lalu untuk polhut bervariasi. Dari 38, hanya 10 yang menempuh lagi setingkat S1. Dan penyidik 8 orang sarjana dari 12 orang.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 Aceh</w:t>
            </w:r>
          </w:p>
        </w:tc>
      </w:tr>
      <w:tr w:rsidR="003810B9" w:rsidRPr="003810B9" w:rsidTr="003810B9">
        <w:trPr>
          <w:trHeight w:val="405"/>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BIIIa3</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Pernah mendapatkan pelatihan menjadi fasilitator </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w:t>
            </w:r>
            <w:r w:rsidRPr="003810B9">
              <w:rPr>
                <w:rFonts w:ascii="Times New Roman" w:eastAsia="Times New Roman" w:hAnsi="Times New Roman" w:cs="Times New Roman"/>
                <w:color w:val="000000"/>
                <w:sz w:val="20"/>
                <w:szCs w:val="20"/>
                <w:lang w:eastAsia="id-ID"/>
              </w:rPr>
              <w:lastRenderedPageBreak/>
              <w:t xml:space="preserve">pelatihan menjadi fasilitator? </w:t>
            </w: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KPH</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KPH di Aceh</w:t>
            </w:r>
          </w:p>
        </w:tc>
      </w:tr>
      <w:tr w:rsidR="003810B9" w:rsidRPr="003810B9" w:rsidTr="003810B9">
        <w:trPr>
          <w:trHeight w:val="76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Iya pernah Terutama mereka yang bertugas sebagai punyuluh kehutanan.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 Aceh</w:t>
            </w:r>
          </w:p>
        </w:tc>
      </w:tr>
      <w:tr w:rsidR="003810B9" w:rsidRPr="003810B9" w:rsidTr="003810B9">
        <w:trPr>
          <w:trHeight w:val="405"/>
        </w:trPr>
        <w:tc>
          <w:tcPr>
            <w:tcW w:w="1066"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BIIIa4</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KPH</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KPH di Aceh</w:t>
            </w:r>
          </w:p>
        </w:tc>
      </w:tr>
      <w:tr w:rsidR="003810B9" w:rsidRPr="003810B9" w:rsidTr="003810B9">
        <w:trPr>
          <w:trHeight w:val="76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Mereka yang bertugas sebagai peyuluh sudah berpengalaman dalam penyuluhan sekitar 3- 15 tahun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255"/>
        </w:trPr>
        <w:tc>
          <w:tcPr>
            <w:tcW w:w="1066"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 Aceh</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70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3810B9" w:rsidRPr="003810B9" w:rsidTr="003810B9">
        <w:trPr>
          <w:trHeight w:val="36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single" w:sz="4" w:space="0" w:color="auto"/>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 Kepala TN, BKSDA, KPH Provinsi/Kabupaten</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750"/>
        </w:trPr>
        <w:tc>
          <w:tcPr>
            <w:tcW w:w="1066"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BIIIb1</w:t>
            </w:r>
          </w:p>
        </w:tc>
        <w:tc>
          <w:tcPr>
            <w:tcW w:w="1624"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679"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KPH</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KPH di Aceh</w:t>
            </w:r>
          </w:p>
        </w:tc>
      </w:tr>
      <w:tr w:rsidR="003810B9" w:rsidRPr="003810B9" w:rsidTr="003810B9">
        <w:trPr>
          <w:trHeight w:val="127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BKSDA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Informan keberatan memberikan dokumen detil rincian biaya. </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Untuk tahun 2011: 200 jt. Dan tahun 2012 naik menjadi 230 Juta. Kalau maun ideal mestinya 100jt per kawasan. Kalau BKSDA mengelola 7 kawasan, mestin total 700jt.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25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TN</w:t>
            </w:r>
          </w:p>
        </w:tc>
        <w:tc>
          <w:tcPr>
            <w:tcW w:w="5351" w:type="dxa"/>
            <w:gridSpan w:val="4"/>
            <w:tcBorders>
              <w:top w:val="single" w:sz="4" w:space="0" w:color="auto"/>
              <w:left w:val="nil"/>
              <w:bottom w:val="single" w:sz="4" w:space="0" w:color="auto"/>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TN d Aceh</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4369" w:type="dxa"/>
            <w:gridSpan w:val="3"/>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Isu dalam PGA REDD+</w:t>
            </w:r>
          </w:p>
        </w:tc>
        <w:tc>
          <w:tcPr>
            <w:tcW w:w="5134" w:type="dxa"/>
            <w:gridSpan w:val="4"/>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31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5134" w:type="dxa"/>
            <w:gridSpan w:val="4"/>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a. Jumlah luas kawasan hutan yang dialokasikan untuk masyarakat(?)</w:t>
            </w: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165"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417" w:type="dxa"/>
            <w:tcBorders>
              <w:top w:val="nil"/>
              <w:left w:val="single" w:sz="4" w:space="0" w:color="auto"/>
              <w:bottom w:val="single" w:sz="4" w:space="0" w:color="auto"/>
              <w:right w:val="single" w:sz="4" w:space="0" w:color="auto"/>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13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76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BIVa1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Jumlah luas kawasan hutan yang dialokasikan untuk masyarakat</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Berapa jumlah luas kawasan hutan yang dialokasikan untuk masyara-kat?</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000000" w:fill="FFFF00"/>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34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165"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5134" w:type="dxa"/>
            <w:gridSpan w:val="4"/>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275"/>
        </w:trPr>
        <w:tc>
          <w:tcPr>
            <w:tcW w:w="1066" w:type="dxa"/>
            <w:tcBorders>
              <w:top w:val="nil"/>
              <w:left w:val="single" w:sz="4" w:space="0" w:color="auto"/>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BIVb1</w:t>
            </w:r>
          </w:p>
        </w:tc>
        <w:tc>
          <w:tcPr>
            <w:tcW w:w="1624" w:type="dxa"/>
            <w:tcBorders>
              <w:top w:val="nil"/>
              <w:left w:val="single" w:sz="4" w:space="0" w:color="auto"/>
              <w:bottom w:val="single" w:sz="4" w:space="0" w:color="auto"/>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679"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Apakah jumlah Unit Pengelola Hu-tan (KPHP/KPHL) yang telah diben-tuk dan operasional di Provinsi/ Kabupaten/Kota </w:t>
            </w:r>
            <w:r w:rsidRPr="003810B9">
              <w:rPr>
                <w:rFonts w:ascii="Times New Roman" w:eastAsia="Times New Roman" w:hAnsi="Times New Roman" w:cs="Times New Roman"/>
                <w:color w:val="000000"/>
                <w:sz w:val="20"/>
                <w:szCs w:val="20"/>
                <w:lang w:eastAsia="id-ID"/>
              </w:rPr>
              <w:lastRenderedPageBreak/>
              <w:t>sudah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Kehutanan</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Belum dibentuk KPH. Pada tahun 2002 Pernah ada inisiatif pembentukan KPH, tapi sampai sekarng belum dibentuk </w:t>
            </w:r>
            <w:r w:rsidRPr="003810B9">
              <w:rPr>
                <w:rFonts w:ascii="Times New Roman" w:eastAsia="Times New Roman" w:hAnsi="Times New Roman" w:cs="Times New Roman"/>
                <w:color w:val="000000"/>
                <w:sz w:val="20"/>
                <w:szCs w:val="20"/>
                <w:lang w:eastAsia="id-ID"/>
              </w:rPr>
              <w:lastRenderedPageBreak/>
              <w:t>KPH.</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1</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36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3810B9" w:rsidRPr="003810B9" w:rsidTr="003810B9">
        <w:trPr>
          <w:trHeight w:val="63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Sumber informasi</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02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BIVc1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saja dasar pertimbangan yang digunakan dalam pemberian izin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Kehutanan</w:t>
            </w:r>
          </w:p>
        </w:tc>
        <w:tc>
          <w:tcPr>
            <w:tcW w:w="1417"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Dinas Kehutanan tidak punya wewenang memberi ijin. Dinas hanya bisa memberikan rekomendasi. Pengurusan ijin dilakukan oleh BP2T. </w:t>
            </w:r>
          </w:p>
        </w:tc>
        <w:tc>
          <w:tcPr>
            <w:tcW w:w="1382" w:type="dxa"/>
            <w:tcBorders>
              <w:top w:val="nil"/>
              <w:left w:val="nil"/>
              <w:bottom w:val="single" w:sz="4" w:space="0" w:color="auto"/>
              <w:right w:val="single" w:sz="4" w:space="0" w:color="auto"/>
            </w:tcBorders>
            <w:shd w:val="clear" w:color="000000" w:fill="FFFF00"/>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Isu dalam PGA REDD+</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V. Pengendalian dan Penegakan Hukum  </w:t>
            </w:r>
          </w:p>
        </w:tc>
        <w:tc>
          <w:tcPr>
            <w:tcW w:w="113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25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a. Jumlah unit pengelola hutan (KPH) yang menerapkan sistem pengendalian  internal   (LAKIP)</w:t>
            </w: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Pimpinan KPH Provinsi/Kabupaten </w:t>
            </w:r>
          </w:p>
        </w:tc>
        <w:tc>
          <w:tcPr>
            <w:tcW w:w="113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76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BVa1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Kinerja KPH dalam penerapan sistem pengendalian internal</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KPH</w:t>
            </w:r>
          </w:p>
        </w:tc>
        <w:tc>
          <w:tcPr>
            <w:tcW w:w="5351"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KPH di Aeh</w:t>
            </w:r>
          </w:p>
        </w:tc>
      </w:tr>
      <w:tr w:rsidR="003810B9" w:rsidRPr="003810B9" w:rsidTr="003810B9">
        <w:trPr>
          <w:trHeight w:val="153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BVa2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165" w:type="dxa"/>
            <w:tcBorders>
              <w:top w:val="nil"/>
              <w:left w:val="nil"/>
              <w:bottom w:val="single" w:sz="4" w:space="0" w:color="auto"/>
              <w:right w:val="single" w:sz="4" w:space="0" w:color="auto"/>
            </w:tcBorders>
            <w:shd w:val="clear" w:color="000000" w:fill="F2DDDC"/>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KPH</w:t>
            </w:r>
          </w:p>
        </w:tc>
        <w:tc>
          <w:tcPr>
            <w:tcW w:w="5351" w:type="dxa"/>
            <w:gridSpan w:val="4"/>
            <w:vMerge/>
            <w:tcBorders>
              <w:top w:val="nil"/>
              <w:left w:val="nil"/>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165"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7"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25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Bagian kepegawaian Polda/Polres/Polresta</w:t>
            </w:r>
          </w:p>
        </w:tc>
        <w:tc>
          <w:tcPr>
            <w:tcW w:w="113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BVb1</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679"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Polda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Ada 12 personil.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BVb2</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Sertifikat/Bukti Keikutsertaan pelatihan</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Polda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Pelatihan tentang GPS. 4 personil yang diundang. Sekitar tahun 2007. Kita punya alatnya.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765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BVb3</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Pengalaman kerja dalam bidang yang terkait pidana kehutanan dan lingkungan</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Polda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Cukup memadai. Meski ada kendala rotasi penugasan. Namun demikian, personil kami selau bersikap profesional. Sebab, kendati sebelumnya mereka tidak menangani soal kehutanan, namun ketika ditugaskan, setiap personel sudah harus siap kerja dan belajar. </w:t>
            </w:r>
            <w:r w:rsidRPr="003810B9">
              <w:rPr>
                <w:rFonts w:ascii="Times New Roman" w:eastAsia="Times New Roman" w:hAnsi="Times New Roman" w:cs="Times New Roman"/>
                <w:color w:val="000000"/>
                <w:sz w:val="20"/>
                <w:szCs w:val="20"/>
                <w:lang w:eastAsia="id-ID"/>
              </w:rPr>
              <w:br/>
            </w:r>
            <w:r w:rsidRPr="003810B9">
              <w:rPr>
                <w:rFonts w:ascii="Times New Roman" w:eastAsia="Times New Roman" w:hAnsi="Times New Roman" w:cs="Times New Roman"/>
                <w:color w:val="000000"/>
                <w:sz w:val="20"/>
                <w:szCs w:val="20"/>
                <w:lang w:eastAsia="id-ID"/>
              </w:rPr>
              <w:br/>
              <w:t xml:space="preserve">Khusus masalah kehutanan, kerumitan kerap ditemui, kalau kasus pidana itu terjadi di wilayah yang belum jelas batas-batas wilayahnya. Atau wilayah "tengah" persis di garis perbatasan antara kawasan yang ditetapkan sebagai hutan lindung atau tidak. Urusannya bisa panjang. Polisi kadang sulit menindak. Lain soalnya, kalau sudah jelas, ketika mereka (masyarakat) melakukan aktivitas persis dikawasan hutan lindung, maka kitapun tidak kesulitan untuk menindaknya. </w:t>
            </w:r>
            <w:r w:rsidRPr="003810B9">
              <w:rPr>
                <w:rFonts w:ascii="Times New Roman" w:eastAsia="Times New Roman" w:hAnsi="Times New Roman" w:cs="Times New Roman"/>
                <w:color w:val="000000"/>
                <w:sz w:val="20"/>
                <w:szCs w:val="20"/>
                <w:lang w:eastAsia="id-ID"/>
              </w:rPr>
              <w:br/>
            </w:r>
            <w:r w:rsidRPr="003810B9">
              <w:rPr>
                <w:rFonts w:ascii="Times New Roman" w:eastAsia="Times New Roman" w:hAnsi="Times New Roman" w:cs="Times New Roman"/>
                <w:color w:val="000000"/>
                <w:sz w:val="20"/>
                <w:szCs w:val="20"/>
                <w:lang w:eastAsia="id-ID"/>
              </w:rPr>
              <w:br/>
              <w:t xml:space="preserve">Soal hutan dan masyarakat ini banyak ditemukan dilema. di satu sisi masyarakat butuh makan untuk hidup, sehingga risiko apapun diambil </w:t>
            </w:r>
            <w:r w:rsidRPr="003810B9">
              <w:rPr>
                <w:rFonts w:ascii="Times New Roman" w:eastAsia="Times New Roman" w:hAnsi="Times New Roman" w:cs="Times New Roman"/>
                <w:color w:val="000000"/>
                <w:sz w:val="20"/>
                <w:szCs w:val="20"/>
                <w:lang w:eastAsia="id-ID"/>
              </w:rPr>
              <w:lastRenderedPageBreak/>
              <w:t xml:space="preserve">untuk menghidupi keluarganya. </w:t>
            </w:r>
            <w:r w:rsidRPr="003810B9">
              <w:rPr>
                <w:rFonts w:ascii="Times New Roman" w:eastAsia="Times New Roman" w:hAnsi="Times New Roman" w:cs="Times New Roman"/>
                <w:color w:val="000000"/>
                <w:sz w:val="20"/>
                <w:szCs w:val="20"/>
                <w:lang w:eastAsia="id-ID"/>
              </w:rPr>
              <w:br/>
              <w:t xml:space="preserve">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3</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450"/>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5134" w:type="dxa"/>
            <w:gridSpan w:val="4"/>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Bagian kepegawaian Kejati/Kejari</w:t>
            </w:r>
          </w:p>
        </w:tc>
        <w:tc>
          <w:tcPr>
            <w:tcW w:w="113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78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BVc1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Kejari</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Semua jaksa harus siap menangani kasus apa saja.termasuk untuk menangani kasus-kasus bidang kehutanan. Semua jaksa memiliki kulaifikasi. Tidak ada istilahnya jaksa yang tidak siap menangi kasus yang diberikan.</w:t>
            </w:r>
          </w:p>
        </w:tc>
        <w:tc>
          <w:tcPr>
            <w:tcW w:w="1382"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4</w:t>
            </w:r>
          </w:p>
        </w:tc>
      </w:tr>
      <w:tr w:rsidR="003810B9" w:rsidRPr="003810B9" w:rsidTr="003810B9">
        <w:trPr>
          <w:trHeight w:val="229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BVc2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Sertifikat/Bukti Keikutsertaan pelatihan</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Kejari</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Tahun 2012 ada 6 jaksa yang ikut diklat khusus di bidang kehutanan. Tahun 2011 ada 8 jaksa yang ikut diklat di bidang kehutanan. Yang ikut diklat pasti diberikan sertifikat (bukti ikut pelatihan). Hanya saja tidak di sertifikasi secara khusus seperti sertifikasi jaksa khusus untuk anak. Itu karena perintah UU.</w:t>
            </w:r>
          </w:p>
        </w:tc>
        <w:tc>
          <w:tcPr>
            <w:tcW w:w="1382"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178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BVc3</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Pengalaman kerja dalam bidang yang terkait pidana kehutanan dan lingkungan</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Kejari</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yang dikhususkan menangani kasus kehutanan dan lingkungan karena kasusnya sangat sedikit. Yang pasti bagi jaksa yang ikut pelatihan pasti akan diprioritaskan untuk menangani kasus sesuai dengan diklat yang diikuti.</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450"/>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5134" w:type="dxa"/>
            <w:gridSpan w:val="4"/>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3716" w:type="dxa"/>
            <w:gridSpan w:val="3"/>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Bagian kepegawaian Pengadilan Tinggi/Pengadilan Negeri</w:t>
            </w: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BVd1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Pengadilan Negeri (Nurhayati Mustafa, SH-Kabg Hukum)</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Tidak lebih dari 2 hakim yang menguasai soal kehuatan. Itupun sekarang pindah ke Jakarta.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BVd2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Sertifikat/Bukti Keikutsertaan pelatihan</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Pengadilan Negeri</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Tidak ada yang ikut training khusus tentang kehutanan.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02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BVd3</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Pengalaman kerja dalam bidang yang terkait pidana kehutanan dan lingkungan</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Pengadilan Negeri</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memadai, sebab rotasi hakim di Aceh sangat tinggi. Kerap dipindah-pindah.</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34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lastRenderedPageBreak/>
              <w:t>Indikator</w:t>
            </w:r>
          </w:p>
        </w:tc>
        <w:tc>
          <w:tcPr>
            <w:tcW w:w="162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3716" w:type="dxa"/>
            <w:gridSpan w:val="3"/>
            <w:tcBorders>
              <w:top w:val="nil"/>
              <w:left w:val="nil"/>
              <w:bottom w:val="nil"/>
              <w:right w:val="nil"/>
            </w:tcBorders>
            <w:shd w:val="clear" w:color="auto" w:fill="auto"/>
            <w:noWrap/>
            <w:hideMark/>
          </w:tcPr>
          <w:p w:rsidR="003810B9" w:rsidRPr="003810B9" w:rsidRDefault="003810B9" w:rsidP="003810B9">
            <w:pPr>
              <w:spacing w:after="24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Unit reskrim Polda, Unit reskrim Polres/Polresta</w:t>
            </w: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530"/>
        </w:trPr>
        <w:tc>
          <w:tcPr>
            <w:tcW w:w="1066" w:type="dxa"/>
            <w:vMerge w:val="restart"/>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BVe1</w:t>
            </w:r>
          </w:p>
        </w:tc>
        <w:tc>
          <w:tcPr>
            <w:tcW w:w="1624"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679" w:type="dxa"/>
            <w:vMerge w:val="restart"/>
            <w:tcBorders>
              <w:top w:val="nil"/>
              <w:left w:val="single" w:sz="4" w:space="0" w:color="auto"/>
              <w:bottom w:val="single" w:sz="4" w:space="0" w:color="000000"/>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Kejari</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akan disusulkan via email. Tapi sampe sekarang belum dikirimkan oleh Kejati Aceh</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Gelar perkara dilakukan terhadap semua kasus pidana kehutanan dan lingkungan yang masuk ke kejaksaan. Pun kasusnya sedikit dan tidak berat. Untuk tahun 2012 sudah masuk 3 kasus terkait hutan.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1650"/>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Polda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Dirkrimsus berkeberatan menyerahkan copy data. Kolektor data hanya diperbolehnkan membaca dan menghitungnya langsung kasus-kasu yang ada. </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Selama tahun 2011 terdapat 89 kasus perkara pidana kehutana. Kasus ini cenderung menurun dibandingkan sebelum ada moratorium logging. Sebelum moratorium logging, kasusnya bisa lebih dari itu.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3</w:t>
            </w:r>
          </w:p>
        </w:tc>
      </w:tr>
      <w:tr w:rsidR="003810B9" w:rsidRPr="003810B9" w:rsidTr="003810B9">
        <w:trPr>
          <w:trHeight w:val="525"/>
        </w:trPr>
        <w:tc>
          <w:tcPr>
            <w:tcW w:w="1066" w:type="dxa"/>
            <w:vMerge/>
            <w:tcBorders>
              <w:top w:val="nil"/>
              <w:left w:val="single" w:sz="4" w:space="0" w:color="auto"/>
              <w:bottom w:val="single" w:sz="4" w:space="0" w:color="auto"/>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vMerge/>
            <w:tcBorders>
              <w:top w:val="nil"/>
              <w:left w:val="single" w:sz="4" w:space="0" w:color="auto"/>
              <w:bottom w:val="single" w:sz="4" w:space="0" w:color="000000"/>
              <w:right w:val="single" w:sz="4" w:space="0" w:color="auto"/>
            </w:tcBorders>
            <w:vAlign w:val="center"/>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Pengadilan Negeri</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Dokumen tidak diberikan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Di tahun 2011 hanya ada 2 perkara. Untuk tahun 2012 belum ada yang masuk.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4</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Isu dalam PGA REDD+</w:t>
            </w: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VI. Infrastruktur REDD+</w:t>
            </w:r>
          </w:p>
        </w:tc>
        <w:tc>
          <w:tcPr>
            <w:tcW w:w="1134"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25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a.  Keberadaan lembaga REDD+ di Nasional dan Sub nasional</w:t>
            </w:r>
          </w:p>
        </w:tc>
      </w:tr>
      <w:tr w:rsidR="003810B9" w:rsidRPr="003810B9" w:rsidTr="003810B9">
        <w:trPr>
          <w:trHeight w:val="360"/>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5134" w:type="dxa"/>
            <w:gridSpan w:val="4"/>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Nasional: UKP4 (Satgas REDD+)</w:t>
            </w:r>
            <w:r w:rsidRPr="003810B9">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BVIa1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Ada atau tidak adanya lembaga REDD+ di Nasional dan Sub nasional</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terdapat lembaga REDD+ di Nasional dan Sub nasional?</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Bersifat periodikal. </w:t>
            </w:r>
            <w:r w:rsidRPr="003810B9">
              <w:rPr>
                <w:rFonts w:ascii="Times New Roman" w:eastAsia="Times New Roman" w:hAnsi="Times New Roman" w:cs="Times New Roman"/>
                <w:color w:val="000000"/>
                <w:sz w:val="20"/>
                <w:szCs w:val="20"/>
                <w:lang w:eastAsia="id-ID"/>
              </w:rPr>
              <w:br/>
              <w:t>- Sebenarnya secara organisatoris memiliki struktur yang jelas. Tapi sekarang seperti tidak memiliki dukungan politik pasca-Irwandi</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BVIa2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dukungan peraturan ter-hadap lembaga REDD+ sudah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SK Gubernur No. 522/18/2010 tentang Pembentukan TIM TASK FORCE REDD ACEH</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4</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Secara dejure kuat, tapi secara de facto lemah.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25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3810B9" w:rsidRPr="003810B9" w:rsidTr="003810B9">
        <w:trPr>
          <w:trHeight w:val="58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lastRenderedPageBreak/>
              <w:t>Wawancara - Sumber informasi</w:t>
            </w: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single" w:sz="4" w:space="0" w:color="auto"/>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Nasional: UKP4 (Satgas REDD+)</w:t>
            </w:r>
            <w:r w:rsidRPr="003810B9">
              <w:rPr>
                <w:rFonts w:ascii="Times New Roman" w:eastAsia="Times New Roman" w:hAnsi="Times New Roman" w:cs="Times New Roman"/>
                <w:b/>
                <w:bCs/>
                <w:color w:val="000000"/>
                <w:sz w:val="20"/>
                <w:szCs w:val="20"/>
                <w:lang w:eastAsia="id-ID"/>
              </w:rPr>
              <w:br/>
              <w:t xml:space="preserve">  Sub nasional: Dinas Kehutanan dan Lingkungan Hidup</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02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BVIb1</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Ada atau tidak adanya lembaga MRV di Nasional dan Sub nasional</w:t>
            </w:r>
          </w:p>
        </w:tc>
        <w:tc>
          <w:tcPr>
            <w:tcW w:w="1679"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terdapat lembaga MRV di Nasional dan Sub nasional?</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Sebenanrnya MRV itu sudah masuk dalam tugas Organizing Comittee dalam struktur organisasi TF REDD Aceh, cum masih belum berjalan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102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BVIb2</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dukungan peraturan ter-hadap lembaga MRV sudah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peaturan secara khusus yang mendukung terhadap adanya MRV. Itu sudah masuk dalam SK Gub</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255"/>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3716" w:type="dxa"/>
            <w:gridSpan w:val="3"/>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c. Keberadaan lembaga finansial di Nasional dan Sub nasional</w:t>
            </w: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5134" w:type="dxa"/>
            <w:gridSpan w:val="4"/>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Nasional: UKP4 (Satgas REDD+)</w:t>
            </w:r>
            <w:r w:rsidRPr="003810B9">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02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BVIc1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Ada atau tidak adanya lembaga finansial di tingkat Nasional dan Sub nasional</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terdapat lembaga finansial di tingkat Nasional dan Sub nasional?</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BVIc2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dukungan peraturan ter-hadap lembaga finansial sudah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Sebenanrnya lembaga finansial ini bica mendapatkan cantolan hukumnnya pada Pergub 2009 tentang Jasa Lingkungan.</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450"/>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5134" w:type="dxa"/>
            <w:gridSpan w:val="4"/>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Ketua Satgas REDD+/Pokja REDD+</w:t>
            </w: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78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BVId1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Tidak ada dokumen yang memaparkan tentang CV mereka yang masuk dalam TF REDD. </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Yang terlibat dalam TF REDD adalah orang-orang yang secara praktis punya pengalaman lapangan dan perjalanan karir dalam perencanaan wilayah, tata ruang kehutanan, analisis lingkungan, dsb.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5</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BVId2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didapatkan dari informan.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Ada sertifkat dari SERINDO, Sertifkat Pelatihan statistik Karbon dan FPIC dari FFI</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5</w:t>
            </w:r>
          </w:p>
        </w:tc>
      </w:tr>
      <w:tr w:rsidR="003810B9" w:rsidRPr="003810B9" w:rsidTr="003810B9">
        <w:trPr>
          <w:trHeight w:val="153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BVId3</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Yang terlibat dalam TF REDD adalah orang-orang yang secara praktis punya pengalaman lapangan dan perjalanan karir dalam perencanaan wilayah, tata ruang kehutanan, analisis lingkungan, dsb.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5</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5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3810B9">
              <w:rPr>
                <w:rFonts w:ascii="Times New Roman" w:eastAsia="Times New Roman" w:hAnsi="Times New Roman" w:cs="Times New Roman"/>
                <w:b/>
                <w:bCs/>
                <w:color w:val="000000"/>
                <w:sz w:val="20"/>
                <w:szCs w:val="20"/>
                <w:lang w:eastAsia="id-ID"/>
              </w:rPr>
              <w:br/>
              <w:t xml:space="preserve"> (Strategi, monitoring, lembaga)</w:t>
            </w:r>
          </w:p>
        </w:tc>
      </w:tr>
      <w:tr w:rsidR="003810B9" w:rsidRPr="003810B9" w:rsidTr="003810B9">
        <w:trPr>
          <w:trHeight w:val="360"/>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single" w:sz="4" w:space="0" w:color="auto"/>
              <w:right w:val="nil"/>
            </w:tcBorders>
            <w:shd w:val="clear" w:color="auto" w:fill="auto"/>
            <w:hideMark/>
          </w:tcPr>
          <w:p w:rsidR="003810B9" w:rsidRPr="003810B9" w:rsidRDefault="003810B9" w:rsidP="003810B9">
            <w:pPr>
              <w:spacing w:after="24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Nasional: Ketua Satgas REDD+</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27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BVIe1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Tidak ada dana yang dialokasikan untuk pengembangan infrastruktur. Pemda hanya mensuport pengadaan peralatan pendukung kerja (ATK).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450"/>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5134" w:type="dxa"/>
            <w:gridSpan w:val="4"/>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2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single" w:sz="4" w:space="0" w:color="auto"/>
              <w:right w:val="nil"/>
            </w:tcBorders>
            <w:shd w:val="clear" w:color="auto" w:fill="auto"/>
            <w:hideMark/>
          </w:tcPr>
          <w:p w:rsidR="003810B9" w:rsidRPr="003810B9" w:rsidRDefault="003810B9" w:rsidP="003810B9">
            <w:pPr>
              <w:spacing w:after="24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:Nasional: UKP4 (Satgas REDD+)</w:t>
            </w:r>
            <w:r w:rsidRPr="003810B9">
              <w:rPr>
                <w:rFonts w:ascii="Times New Roman" w:eastAsia="Times New Roman" w:hAnsi="Times New Roman" w:cs="Times New Roman"/>
                <w:b/>
                <w:bCs/>
                <w:color w:val="000000"/>
                <w:sz w:val="20"/>
                <w:szCs w:val="20"/>
                <w:lang w:eastAsia="id-ID"/>
              </w:rPr>
              <w:br/>
              <w:t xml:space="preserve">  Sub nasional: Dinas Kehutanan dan Lingkungan Hidup</w:t>
            </w: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78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BVIf1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Ada atau tidak adanya kerangka pengaman di tingkat Nasional dan Sub nasional</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terdapat kerangka pengaman di tingkat Nasional dan Sub nasional?</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Kerangka pengaman itu bisa berupa hukum dan finansial. Secara hukum jelas kita punya dukungan dari SK Gubernur. Tapi secara finasial itu yang sangat minimal, bahkan bisa disebut tidak ada. Sehingga tidak bisa disebut sebagai kerangka pengaman.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229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lastRenderedPageBreak/>
              <w:t>BVIf2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24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dukungan peraturan ter-hadap kerangka pengaman sudah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KEDELAPAN: Segala biaya yang timbul akibat dikeluarkannya keputusan ini pada Anggaran Pendapatan dan Belanja Aceh (APBA) melalaui dinas teknis terkait, biaya operasioanl proyek REDD dan sumber-sumber dana lainnya yang sah dan tidak mengikat</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Secara eksplisit sudah ada di SK Gub. No.522, poin 8.</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2</w:t>
            </w:r>
          </w:p>
        </w:tc>
      </w:tr>
      <w:tr w:rsidR="003810B9" w:rsidRPr="003810B9" w:rsidTr="003810B9">
        <w:trPr>
          <w:trHeight w:val="255"/>
        </w:trPr>
        <w:tc>
          <w:tcPr>
            <w:tcW w:w="1066"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165"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p>
        </w:tc>
      </w:tr>
      <w:tr w:rsidR="003810B9" w:rsidRPr="003810B9" w:rsidTr="003810B9">
        <w:trPr>
          <w:trHeight w:val="960"/>
        </w:trPr>
        <w:tc>
          <w:tcPr>
            <w:tcW w:w="1066" w:type="dxa"/>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Indikator</w:t>
            </w:r>
          </w:p>
        </w:tc>
        <w:tc>
          <w:tcPr>
            <w:tcW w:w="162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6516" w:type="dxa"/>
            <w:gridSpan w:val="5"/>
            <w:tcBorders>
              <w:top w:val="nil"/>
              <w:left w:val="nil"/>
              <w:bottom w:val="nil"/>
              <w:right w:val="nil"/>
            </w:tcBorders>
            <w:shd w:val="clear" w:color="auto" w:fill="auto"/>
            <w:hideMark/>
          </w:tcPr>
          <w:p w:rsidR="003810B9" w:rsidRPr="003810B9" w:rsidRDefault="003810B9" w:rsidP="003810B9">
            <w:pPr>
              <w:spacing w:after="24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g. Jumlah sumberdaya manusia yang memadai dengan kualifikasi di lembaga REDD+ untuk mediasi konflik akibat pembagian hasil REDD+</w:t>
            </w:r>
          </w:p>
        </w:tc>
      </w:tr>
      <w:tr w:rsidR="003810B9" w:rsidRPr="003810B9" w:rsidTr="003810B9">
        <w:trPr>
          <w:trHeight w:val="255"/>
        </w:trPr>
        <w:tc>
          <w:tcPr>
            <w:tcW w:w="2690"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Wawancara - Sumber informasi</w:t>
            </w:r>
          </w:p>
        </w:tc>
        <w:tc>
          <w:tcPr>
            <w:tcW w:w="1679"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2582" w:type="dxa"/>
            <w:gridSpan w:val="2"/>
            <w:tcBorders>
              <w:top w:val="nil"/>
              <w:left w:val="nil"/>
              <w:bottom w:val="nil"/>
              <w:right w:val="nil"/>
            </w:tcBorders>
            <w:shd w:val="clear" w:color="auto" w:fill="auto"/>
            <w:noWrap/>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 Ketua Satgas REDD+/Pokja REDD+</w:t>
            </w:r>
          </w:p>
        </w:tc>
        <w:tc>
          <w:tcPr>
            <w:tcW w:w="1134"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p>
        </w:tc>
      </w:tr>
      <w:tr w:rsidR="003810B9" w:rsidRPr="003810B9" w:rsidTr="003810B9">
        <w:trPr>
          <w:trHeight w:val="510"/>
        </w:trPr>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Kode</w:t>
            </w:r>
          </w:p>
        </w:tc>
        <w:tc>
          <w:tcPr>
            <w:tcW w:w="162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Panduan Analisis Dokumen</w:t>
            </w:r>
          </w:p>
        </w:tc>
        <w:tc>
          <w:tcPr>
            <w:tcW w:w="1679"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Pertanyaan Wawancara</w:t>
            </w:r>
          </w:p>
        </w:tc>
        <w:tc>
          <w:tcPr>
            <w:tcW w:w="1165"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Sumber Data</w:t>
            </w:r>
          </w:p>
        </w:tc>
        <w:tc>
          <w:tcPr>
            <w:tcW w:w="1417"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Dokumen</w:t>
            </w:r>
          </w:p>
        </w:tc>
        <w:tc>
          <w:tcPr>
            <w:tcW w:w="1418"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b/>
                <w:bCs/>
                <w:color w:val="000000"/>
                <w:sz w:val="20"/>
                <w:szCs w:val="20"/>
                <w:lang w:eastAsia="id-ID"/>
              </w:rPr>
            </w:pPr>
            <w:r w:rsidRPr="003810B9">
              <w:rPr>
                <w:rFonts w:ascii="Times New Roman" w:eastAsia="Times New Roman" w:hAnsi="Times New Roman" w:cs="Times New Roman"/>
                <w:b/>
                <w:bCs/>
                <w:color w:val="000000"/>
                <w:sz w:val="20"/>
                <w:szCs w:val="20"/>
                <w:lang w:eastAsia="id-ID"/>
              </w:rPr>
              <w:t>Kategori Data Wawancara</w:t>
            </w:r>
          </w:p>
        </w:tc>
      </w:tr>
      <w:tr w:rsidR="003810B9" w:rsidRPr="003810B9" w:rsidTr="003810B9">
        <w:trPr>
          <w:trHeight w:val="178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BVIg1</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Belum pernah ada konflik yang berkaatan pembagian hasil REDD</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020"/>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BVIg2</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Sertifikat/Bukti Keikutsertaan pelatihan mediasi konflik pembagian hasil REDD+</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yang mengikuti pelatihan khusus dalam memediasi konflik</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r w:rsidR="003810B9" w:rsidRPr="003810B9" w:rsidTr="003810B9">
        <w:trPr>
          <w:trHeight w:val="1785"/>
        </w:trPr>
        <w:tc>
          <w:tcPr>
            <w:tcW w:w="1066" w:type="dxa"/>
            <w:tcBorders>
              <w:top w:val="nil"/>
              <w:left w:val="single" w:sz="4" w:space="0" w:color="auto"/>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BVIg3</w:t>
            </w:r>
          </w:p>
        </w:tc>
        <w:tc>
          <w:tcPr>
            <w:tcW w:w="162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Pengalaman kerja dalam medi-asi konflik pembagian hasil REDD+ </w:t>
            </w:r>
          </w:p>
        </w:tc>
        <w:tc>
          <w:tcPr>
            <w:tcW w:w="1679"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165"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Satgas REDD+</w:t>
            </w:r>
          </w:p>
        </w:tc>
        <w:tc>
          <w:tcPr>
            <w:tcW w:w="1417"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c>
          <w:tcPr>
            <w:tcW w:w="1418"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 xml:space="preserve">Belum pernah ada konflik yang berkiatan pembagian hasil REDD. Namun, mereka yang masuk dam TF REDD Aceh, terutama anggota dari Dinas Kehutanan sedikit banyak pernah bersentuhan dengan konflik kehutanan. </w:t>
            </w:r>
          </w:p>
        </w:tc>
        <w:tc>
          <w:tcPr>
            <w:tcW w:w="1382" w:type="dxa"/>
            <w:tcBorders>
              <w:top w:val="nil"/>
              <w:left w:val="nil"/>
              <w:bottom w:val="single" w:sz="4" w:space="0" w:color="auto"/>
              <w:right w:val="single" w:sz="4" w:space="0" w:color="auto"/>
            </w:tcBorders>
            <w:shd w:val="clear" w:color="auto" w:fill="auto"/>
            <w:hideMark/>
          </w:tcPr>
          <w:p w:rsidR="003810B9" w:rsidRPr="003810B9" w:rsidRDefault="003810B9" w:rsidP="003810B9">
            <w:pPr>
              <w:spacing w:after="0" w:line="240" w:lineRule="auto"/>
              <w:jc w:val="center"/>
              <w:rPr>
                <w:rFonts w:ascii="Times New Roman" w:eastAsia="Times New Roman" w:hAnsi="Times New Roman" w:cs="Times New Roman"/>
                <w:color w:val="000000"/>
                <w:sz w:val="20"/>
                <w:szCs w:val="20"/>
                <w:lang w:eastAsia="id-ID"/>
              </w:rPr>
            </w:pPr>
            <w:r w:rsidRPr="003810B9">
              <w:rPr>
                <w:rFonts w:ascii="Times New Roman" w:eastAsia="Times New Roman" w:hAnsi="Times New Roman" w:cs="Times New Roman"/>
                <w:color w:val="000000"/>
                <w:sz w:val="20"/>
                <w:szCs w:val="20"/>
                <w:lang w:eastAsia="id-ID"/>
              </w:rPr>
              <w:t>1</w:t>
            </w:r>
          </w:p>
        </w:tc>
      </w:tr>
    </w:tbl>
    <w:p w:rsidR="003810B9" w:rsidRDefault="003810B9"/>
    <w:sectPr w:rsidR="003810B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20"/>
  <w:characterSpacingControl w:val="doNotCompress"/>
  <w:compat/>
  <w:rsids>
    <w:rsidRoot w:val="00A91768"/>
    <w:rsid w:val="0026067C"/>
    <w:rsid w:val="00265D91"/>
    <w:rsid w:val="003810B9"/>
    <w:rsid w:val="004165D1"/>
    <w:rsid w:val="006E5970"/>
    <w:rsid w:val="007E5CA2"/>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3810B9"/>
    <w:pPr>
      <w:spacing w:before="100" w:beforeAutospacing="1" w:after="100" w:afterAutospacing="1" w:line="240" w:lineRule="auto"/>
    </w:pPr>
    <w:rPr>
      <w:rFonts w:ascii="Tahoma" w:eastAsia="Times New Roman" w:hAnsi="Tahoma" w:cs="Tahoma"/>
      <w:b/>
      <w:bCs/>
      <w:color w:val="000000"/>
      <w:sz w:val="18"/>
      <w:szCs w:val="18"/>
      <w:lang w:eastAsia="id-ID"/>
    </w:rPr>
  </w:style>
  <w:style w:type="paragraph" w:customStyle="1" w:styleId="font6">
    <w:name w:val="font6"/>
    <w:basedOn w:val="Normal"/>
    <w:rsid w:val="003810B9"/>
    <w:pPr>
      <w:spacing w:before="100" w:beforeAutospacing="1" w:after="100" w:afterAutospacing="1" w:line="240" w:lineRule="auto"/>
    </w:pPr>
    <w:rPr>
      <w:rFonts w:ascii="Tahoma" w:eastAsia="Times New Roman" w:hAnsi="Tahoma" w:cs="Tahoma"/>
      <w:color w:val="000000"/>
      <w:sz w:val="18"/>
      <w:szCs w:val="18"/>
      <w:lang w:eastAsia="id-ID"/>
    </w:rPr>
  </w:style>
  <w:style w:type="paragraph" w:customStyle="1" w:styleId="xl111">
    <w:name w:val="xl111"/>
    <w:basedOn w:val="Normal"/>
    <w:rsid w:val="003810B9"/>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3810B9"/>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3810B9"/>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3810B9"/>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3810B9"/>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95017467">
      <w:bodyDiv w:val="1"/>
      <w:marLeft w:val="0"/>
      <w:marRight w:val="0"/>
      <w:marTop w:val="0"/>
      <w:marBottom w:val="0"/>
      <w:divBdr>
        <w:top w:val="none" w:sz="0" w:space="0" w:color="auto"/>
        <w:left w:val="none" w:sz="0" w:space="0" w:color="auto"/>
        <w:bottom w:val="none" w:sz="0" w:space="0" w:color="auto"/>
        <w:right w:val="none" w:sz="0" w:space="0" w:color="auto"/>
      </w:divBdr>
    </w:div>
    <w:div w:id="153342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20</Pages>
  <Words>5797</Words>
  <Characters>33043</Characters>
  <Application>Microsoft Office Word</Application>
  <DocSecurity>0</DocSecurity>
  <Lines>275</Lines>
  <Paragraphs>77</Paragraphs>
  <ScaleCrop>false</ScaleCrop>
  <Company/>
  <LinksUpToDate>false</LinksUpToDate>
  <CharactersWithSpaces>38763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2012-10-16T08:49:00Z</dcterms:modified>
</cp:coreProperties>
</file>